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1D" w:rsidRPr="00B23F5E" w:rsidRDefault="0004231D" w:rsidP="0004231D">
      <w:pPr>
        <w:rPr>
          <w:b/>
          <w:sz w:val="28"/>
          <w:szCs w:val="28"/>
        </w:rPr>
      </w:pPr>
      <w:r w:rsidRPr="00B23F5E">
        <w:rPr>
          <w:b/>
          <w:sz w:val="28"/>
          <w:szCs w:val="28"/>
        </w:rPr>
        <w:t xml:space="preserve">Social dumping skal bekæmpes </w:t>
      </w:r>
      <w:r w:rsidR="00CD26FA" w:rsidRPr="00B23F5E">
        <w:rPr>
          <w:b/>
          <w:sz w:val="28"/>
          <w:szCs w:val="28"/>
        </w:rPr>
        <w:t xml:space="preserve">med alle tænkelige midler </w:t>
      </w:r>
    </w:p>
    <w:p w:rsidR="00920026" w:rsidRDefault="00920026">
      <w:r>
        <w:t xml:space="preserve">Social dumping, </w:t>
      </w:r>
      <w:r w:rsidRPr="00920026">
        <w:t>hvor danske overenskomster</w:t>
      </w:r>
      <w:r w:rsidR="00C83C38">
        <w:t xml:space="preserve"> underbydes</w:t>
      </w:r>
      <w:r>
        <w:t xml:space="preserve">, er en </w:t>
      </w:r>
      <w:r w:rsidR="00CD26FA">
        <w:t xml:space="preserve">kæmpe </w:t>
      </w:r>
      <w:r>
        <w:t xml:space="preserve">trussel mod danske lønmodtageres løn- og arbejdsvilkår. </w:t>
      </w:r>
      <w:r w:rsidR="00D17FC1">
        <w:t xml:space="preserve">Det </w:t>
      </w:r>
      <w:r w:rsidR="00CD26FA">
        <w:t xml:space="preserve">ødelægger stabiliteten på det danske arbejdsmarked, og undergraver </w:t>
      </w:r>
      <w:r>
        <w:t>den danske velfærdsmodel</w:t>
      </w:r>
      <w:r w:rsidRPr="00920026">
        <w:t>.</w:t>
      </w:r>
      <w:r>
        <w:t xml:space="preserve"> </w:t>
      </w:r>
      <w:r w:rsidR="00CD26FA">
        <w:t xml:space="preserve">Derfor skal social </w:t>
      </w:r>
      <w:r>
        <w:t xml:space="preserve">dumping </w:t>
      </w:r>
      <w:r w:rsidR="00CD26FA">
        <w:t xml:space="preserve">bekæmpes med alle tænkelige midler. </w:t>
      </w:r>
    </w:p>
    <w:p w:rsidR="00D17FC1" w:rsidRDefault="00CD26FA" w:rsidP="00856572">
      <w:r>
        <w:t xml:space="preserve">Hver eneste dag er der nye eksempler på, at arbejdere i Danmark underbetales groft og ofte må leve under </w:t>
      </w:r>
      <w:r w:rsidR="004605EF">
        <w:t xml:space="preserve">kummerlige </w:t>
      </w:r>
      <w:r>
        <w:t xml:space="preserve">vilkår. </w:t>
      </w:r>
      <w:r w:rsidR="00856572">
        <w:t xml:space="preserve">Vi er også dagligt vidne til, at </w:t>
      </w:r>
      <w:r w:rsidR="00C83C38">
        <w:t xml:space="preserve">useriøse virksomheder </w:t>
      </w:r>
      <w:r w:rsidR="00856572">
        <w:t xml:space="preserve">snyder det danske samfund for skat. Det breder </w:t>
      </w:r>
      <w:r>
        <w:t xml:space="preserve">sig </w:t>
      </w:r>
      <w:r w:rsidR="00C83C38">
        <w:t xml:space="preserve">til </w:t>
      </w:r>
      <w:r>
        <w:t>flere brancher</w:t>
      </w:r>
      <w:r w:rsidR="00D17FC1">
        <w:t xml:space="preserve">. </w:t>
      </w:r>
    </w:p>
    <w:p w:rsidR="004605EF" w:rsidRDefault="00D17FC1" w:rsidP="00CD26FA">
      <w:r>
        <w:t>S</w:t>
      </w:r>
      <w:r w:rsidR="00CD26FA">
        <w:t xml:space="preserve">ocial dumping og omgåelse af overenskomsten </w:t>
      </w:r>
      <w:r w:rsidR="00C83C38">
        <w:t>har</w:t>
      </w:r>
      <w:r w:rsidR="004605EF">
        <w:t xml:space="preserve"> de senere år </w:t>
      </w:r>
      <w:r>
        <w:t xml:space="preserve">også </w:t>
      </w:r>
      <w:r w:rsidR="00856572">
        <w:t xml:space="preserve">bredt sig til </w:t>
      </w:r>
      <w:r w:rsidR="004605EF">
        <w:t>VVS</w:t>
      </w:r>
      <w:r w:rsidR="00856572">
        <w:t xml:space="preserve">- og </w:t>
      </w:r>
      <w:r w:rsidR="00CD26FA">
        <w:t>skorstensfejer</w:t>
      </w:r>
      <w:r w:rsidR="00856572">
        <w:t>branchen</w:t>
      </w:r>
      <w:r w:rsidR="00CD26FA">
        <w:t xml:space="preserve">. </w:t>
      </w:r>
      <w:r w:rsidR="004605EF">
        <w:t>Således oplever skorstensfejer</w:t>
      </w:r>
      <w:r w:rsidR="00856572">
        <w:t>ne</w:t>
      </w:r>
      <w:r w:rsidR="004605EF">
        <w:t xml:space="preserve"> en stigning i antallet af frie fejere, og på VVS-området har politikerne </w:t>
      </w:r>
      <w:r w:rsidR="00C83C38">
        <w:t xml:space="preserve">med forringelserne af autorisationsloven </w:t>
      </w:r>
      <w:r w:rsidR="004605EF">
        <w:t xml:space="preserve">åbnet op for </w:t>
      </w:r>
      <w:r w:rsidR="00C83C38">
        <w:t xml:space="preserve">muligheden for </w:t>
      </w:r>
      <w:r w:rsidR="004605EF">
        <w:t xml:space="preserve">social dumping. </w:t>
      </w:r>
    </w:p>
    <w:p w:rsidR="00CD26FA" w:rsidRDefault="00856572" w:rsidP="00CD26FA">
      <w:r>
        <w:t xml:space="preserve">Social dumping er et af vor tids største udfordringer, og i </w:t>
      </w:r>
      <w:r w:rsidR="004605EF">
        <w:t xml:space="preserve">Blik- og Rørarbejderforbundet </w:t>
      </w:r>
      <w:r w:rsidR="00CD26FA">
        <w:t xml:space="preserve">anerkender </w:t>
      </w:r>
      <w:r w:rsidR="004605EF">
        <w:t xml:space="preserve">vi vores </w:t>
      </w:r>
      <w:r w:rsidR="00CD26FA">
        <w:t xml:space="preserve">ansvar. </w:t>
      </w:r>
      <w:r w:rsidR="00C83C38">
        <w:t xml:space="preserve">I fagbevægelsen </w:t>
      </w:r>
      <w:r w:rsidR="004605EF">
        <w:t xml:space="preserve">kan </w:t>
      </w:r>
      <w:r w:rsidR="00C83C38">
        <w:t xml:space="preserve">vi </w:t>
      </w:r>
      <w:r w:rsidR="00CD26FA">
        <w:t>blive bedre til det opsøgende arbejde med faglig organisering, indgåelse og forbedring af overenskomsterne, kontrol af om de overholdes, samt til større opbakning til tillidsrepræsentanter og fagligt aktive på arbejdspladserne.</w:t>
      </w:r>
    </w:p>
    <w:p w:rsidR="00D17FC1" w:rsidRDefault="00C83C38" w:rsidP="00BB221D">
      <w:r>
        <w:t xml:space="preserve">Derfor </w:t>
      </w:r>
      <w:r w:rsidR="00CD26FA">
        <w:t xml:space="preserve">opfordrer </w:t>
      </w:r>
      <w:r>
        <w:t xml:space="preserve">vi </w:t>
      </w:r>
      <w:r w:rsidR="00CD26FA">
        <w:t>til</w:t>
      </w:r>
      <w:r w:rsidR="00BB221D">
        <w:t>, at</w:t>
      </w:r>
      <w:r w:rsidR="00D17FC1">
        <w:t xml:space="preserve"> vi i </w:t>
      </w:r>
      <w:r w:rsidR="00BB221D">
        <w:t xml:space="preserve">fagbevægelsen bliver </w:t>
      </w:r>
      <w:r w:rsidR="00CD26FA">
        <w:t xml:space="preserve">bedre </w:t>
      </w:r>
      <w:r w:rsidR="00BB221D">
        <w:t>til at koordinere kravene til bekæmpelse af social dumping på tværs af alle brancher</w:t>
      </w:r>
      <w:r w:rsidR="00CD26FA">
        <w:t>.</w:t>
      </w:r>
      <w:r w:rsidR="00D17FC1">
        <w:t xml:space="preserve"> </w:t>
      </w:r>
      <w:r w:rsidR="00CD26FA">
        <w:t>Men politikerne skal også hjælpe til. Folketinget må sikre, at konkurrencen fra udenlandske v</w:t>
      </w:r>
      <w:r w:rsidR="00D17FC1">
        <w:t xml:space="preserve">irksomheder foregår på lige fod. </w:t>
      </w:r>
    </w:p>
    <w:p w:rsidR="00D17FC1" w:rsidRDefault="00D17FC1" w:rsidP="00BB221D">
      <w:r>
        <w:t xml:space="preserve">I Blik- og Rørarbejderforbundet noterer vi os med tilfredshed, at </w:t>
      </w:r>
      <w:r w:rsidR="00C83C38">
        <w:t>den røde blok i Folketinget</w:t>
      </w:r>
      <w:r w:rsidR="007A5291">
        <w:t>,</w:t>
      </w:r>
      <w:r w:rsidR="00C83C38">
        <w:t xml:space="preserve"> </w:t>
      </w:r>
      <w:r>
        <w:t>gennem t</w:t>
      </w:r>
      <w:r w:rsidR="00BB221D">
        <w:t xml:space="preserve">o finanslovsaftaler, </w:t>
      </w:r>
      <w:r>
        <w:t xml:space="preserve">har afsat ressourcer </w:t>
      </w:r>
      <w:r w:rsidR="00BB221D">
        <w:t xml:space="preserve">til </w:t>
      </w:r>
      <w:r>
        <w:t xml:space="preserve">øget </w:t>
      </w:r>
      <w:r w:rsidR="00BB221D">
        <w:t>myndighedskontrol udført af Arbejdstilsyn, Skat og Politi, skærpede regler om registrering af udstationerende virksomheder, skrappere bøder m.m</w:t>
      </w:r>
      <w:r>
        <w:t>.</w:t>
      </w:r>
    </w:p>
    <w:p w:rsidR="00BB221D" w:rsidRDefault="00D17FC1" w:rsidP="00BB221D">
      <w:r>
        <w:t xml:space="preserve">Vi noterer </w:t>
      </w:r>
      <w:r w:rsidR="00F730E2">
        <w:t>også med tilfredshed</w:t>
      </w:r>
      <w:r>
        <w:t xml:space="preserve">, at </w:t>
      </w:r>
      <w:r w:rsidR="00C83C38">
        <w:t xml:space="preserve">staten, med pålæggene </w:t>
      </w:r>
      <w:r w:rsidR="00A10D37">
        <w:t xml:space="preserve">om brug af </w:t>
      </w:r>
      <w:r w:rsidR="00BB221D">
        <w:t xml:space="preserve">arbejdsklausuler i deres kontrakter med private virksomheder, </w:t>
      </w:r>
      <w:r w:rsidR="00C83C38">
        <w:t xml:space="preserve">har taget de første skridt i kampen mod social dumping på det offentlige område. Og endelig er </w:t>
      </w:r>
      <w:r>
        <w:t xml:space="preserve">forårets aftale om </w:t>
      </w:r>
      <w:r w:rsidR="00BB221D">
        <w:t>sikkerhedskort i byggeriet</w:t>
      </w:r>
      <w:r>
        <w:t xml:space="preserve"> også et skridt i den rigtige retning</w:t>
      </w:r>
      <w:r w:rsidR="00BB221D">
        <w:t>.</w:t>
      </w:r>
    </w:p>
    <w:p w:rsidR="00F730E2" w:rsidRDefault="00856572" w:rsidP="00F730E2">
      <w:r>
        <w:t xml:space="preserve">Desværre er de mange initiativer langt fra nok til at dæmme op for social dumping. </w:t>
      </w:r>
      <w:r w:rsidR="00F730E2">
        <w:t xml:space="preserve">For selv om den øgede indsats hjælper, kan vi i fagbevægelsen dagligt konstatere, at det stadig vrimler med </w:t>
      </w:r>
      <w:r w:rsidR="00C83C38">
        <w:t>useriøse virksomheder</w:t>
      </w:r>
      <w:r w:rsidR="00F730E2">
        <w:t xml:space="preserve">, der underbyder normale danske løn- og ansættelsesvilkår, og som har et elendigt arbejdsmiljø. </w:t>
      </w:r>
    </w:p>
    <w:p w:rsidR="00F730E2" w:rsidRDefault="00F730E2" w:rsidP="00F730E2">
      <w:r>
        <w:t xml:space="preserve">Vi må desværre også konstatere, at det langt fra er alle kommuner, som følger anbefalingerne om at stille krav om ordentlige løn- og ansættelsesvilkår ved udførelse af opgaver for det offentlige, </w:t>
      </w:r>
      <w:r w:rsidR="007A5291">
        <w:t>da k</w:t>
      </w:r>
      <w:r>
        <w:t>un et fåtal af kommunerne følger klausulerne op med effektiv kontrol og økonomiske sanktioner mod de virksomheder, som ikke overholder dem.</w:t>
      </w:r>
    </w:p>
    <w:p w:rsidR="00BB221D" w:rsidRDefault="00F730E2">
      <w:r>
        <w:lastRenderedPageBreak/>
        <w:t>Kampen mod social dumping skal intensiveres</w:t>
      </w:r>
      <w:r w:rsidR="007961C1">
        <w:t xml:space="preserve">. I Blik- og Rørarbejderforbundet er vi klar med en række </w:t>
      </w:r>
      <w:r w:rsidR="00FA5393">
        <w:t xml:space="preserve">forslag, </w:t>
      </w:r>
      <w:r w:rsidR="00856572">
        <w:t>løsninger og tiltag</w:t>
      </w:r>
      <w:r w:rsidR="007961C1">
        <w:t xml:space="preserve"> til politikerne</w:t>
      </w:r>
      <w:r>
        <w:t>, som i sin helhed</w:t>
      </w:r>
      <w:r w:rsidRPr="00F730E2">
        <w:t xml:space="preserve"> vil </w:t>
      </w:r>
      <w:r w:rsidR="007961C1">
        <w:t>skærpe kampen mod social dumping</w:t>
      </w:r>
      <w:r w:rsidRPr="00F730E2">
        <w:t>.</w:t>
      </w:r>
    </w:p>
    <w:p w:rsidR="00F730E2" w:rsidRDefault="00F730E2" w:rsidP="00792798">
      <w:pPr>
        <w:pStyle w:val="Listeafsnit"/>
        <w:numPr>
          <w:ilvl w:val="0"/>
          <w:numId w:val="3"/>
        </w:numPr>
      </w:pPr>
      <w:r w:rsidRPr="00792798">
        <w:rPr>
          <w:b/>
        </w:rPr>
        <w:t>Lovgivning om kædeansvar</w:t>
      </w:r>
      <w:r w:rsidR="007961C1" w:rsidRPr="00792798">
        <w:rPr>
          <w:b/>
        </w:rPr>
        <w:t xml:space="preserve"> </w:t>
      </w:r>
      <w:r w:rsidR="007961C1" w:rsidRPr="00792798">
        <w:rPr>
          <w:b/>
        </w:rPr>
        <w:br/>
      </w:r>
      <w:proofErr w:type="spellStart"/>
      <w:r w:rsidR="006B3F99">
        <w:t>Kædeansvar</w:t>
      </w:r>
      <w:proofErr w:type="spellEnd"/>
      <w:r w:rsidR="006B3F99">
        <w:t xml:space="preserve"> er et af </w:t>
      </w:r>
      <w:r w:rsidR="009A7780">
        <w:t xml:space="preserve">de </w:t>
      </w:r>
      <w:r w:rsidR="006B3F99">
        <w:t xml:space="preserve">vigtigste redskaber til at dæmme op for social dumping. En række andre europæiske lande har allerede indført kædeansvar, så det </w:t>
      </w:r>
      <w:r w:rsidR="006B3F99" w:rsidRPr="00292193">
        <w:rPr>
          <w:highlight w:val="green"/>
        </w:rPr>
        <w:t>bør</w:t>
      </w:r>
      <w:r w:rsidR="006B3F99">
        <w:t xml:space="preserve"> </w:t>
      </w:r>
      <w:r w:rsidR="00292193" w:rsidRPr="00292193">
        <w:rPr>
          <w:highlight w:val="yellow"/>
        </w:rPr>
        <w:t>skal</w:t>
      </w:r>
      <w:r w:rsidR="00292193">
        <w:t xml:space="preserve"> </w:t>
      </w:r>
      <w:r w:rsidR="006B3F99">
        <w:t>naturligvis også gælde i Danmark. I l</w:t>
      </w:r>
      <w:r>
        <w:t>ov</w:t>
      </w:r>
      <w:r w:rsidR="006B3F99">
        <w:t>en</w:t>
      </w:r>
      <w:r>
        <w:t xml:space="preserve"> om kædeansvar</w:t>
      </w:r>
      <w:r w:rsidR="006B3F99">
        <w:t xml:space="preserve"> gøres </w:t>
      </w:r>
      <w:r w:rsidR="007961C1">
        <w:t xml:space="preserve">hovedentreprenører økonomisk ansvarlig for krav om løn m.m. mod underentreprenørerne, ligesom kædeansvaret også skal gælde hovedentreprenørens ansvar for, at underentreprenørerne har betalt skat, moms og sociale bidrag. </w:t>
      </w:r>
      <w:r w:rsidR="00792798">
        <w:br/>
      </w:r>
    </w:p>
    <w:p w:rsidR="00792798" w:rsidRDefault="007961C1" w:rsidP="009A7780">
      <w:pPr>
        <w:pStyle w:val="Listeafsnit"/>
        <w:numPr>
          <w:ilvl w:val="0"/>
          <w:numId w:val="3"/>
        </w:numPr>
      </w:pPr>
      <w:r w:rsidRPr="00792798">
        <w:rPr>
          <w:b/>
        </w:rPr>
        <w:t xml:space="preserve">Flere krav til obligatorisk </w:t>
      </w:r>
      <w:proofErr w:type="spellStart"/>
      <w:r w:rsidRPr="00792798">
        <w:rPr>
          <w:b/>
        </w:rPr>
        <w:t>ID-kort</w:t>
      </w:r>
      <w:proofErr w:type="spellEnd"/>
      <w:r w:rsidRPr="00792798">
        <w:rPr>
          <w:b/>
        </w:rPr>
        <w:t xml:space="preserve"> </w:t>
      </w:r>
      <w:r>
        <w:br/>
        <w:t xml:space="preserve">Det aftalte sikkerhedskort i byggeriet </w:t>
      </w:r>
      <w:r w:rsidR="006B3F99">
        <w:t xml:space="preserve">skal udvides til også at </w:t>
      </w:r>
      <w:r>
        <w:t>indeholde oplysninger o</w:t>
      </w:r>
      <w:r w:rsidR="007A5291">
        <w:t>m</w:t>
      </w:r>
      <w:r>
        <w:t xml:space="preserve"> vedkommendes uddannelsesbaggrund, ligesom der skal stilles</w:t>
      </w:r>
      <w:r w:rsidR="00921A37">
        <w:t xml:space="preserve"> </w:t>
      </w:r>
      <w:r>
        <w:t xml:space="preserve">krav om </w:t>
      </w:r>
      <w:r w:rsidR="00921A37">
        <w:t xml:space="preserve">obligatorisk </w:t>
      </w:r>
      <w:r>
        <w:t>sikkerhedsuddannelse.</w:t>
      </w:r>
      <w:r w:rsidR="00792798">
        <w:t xml:space="preserve"> </w:t>
      </w:r>
      <w:r w:rsidR="009A7780" w:rsidRPr="00292193">
        <w:rPr>
          <w:highlight w:val="yellow"/>
        </w:rPr>
        <w:t>ID-oplysningerne skal være tilgængelige for de respektive organisationer.</w:t>
      </w:r>
      <w:r w:rsidR="00792798">
        <w:br/>
      </w:r>
    </w:p>
    <w:p w:rsidR="00792798" w:rsidRDefault="00921A37" w:rsidP="00BF1408">
      <w:pPr>
        <w:pStyle w:val="Listeafsnit"/>
        <w:numPr>
          <w:ilvl w:val="0"/>
          <w:numId w:val="3"/>
        </w:numPr>
      </w:pPr>
      <w:r w:rsidRPr="00792798">
        <w:rPr>
          <w:b/>
        </w:rPr>
        <w:t>Offentlige a</w:t>
      </w:r>
      <w:r w:rsidR="00F730E2" w:rsidRPr="00792798">
        <w:rPr>
          <w:b/>
        </w:rPr>
        <w:t xml:space="preserve">rbejdsklausuler </w:t>
      </w:r>
      <w:r w:rsidRPr="00792798">
        <w:rPr>
          <w:b/>
        </w:rPr>
        <w:t xml:space="preserve">skal udvides </w:t>
      </w:r>
      <w:bookmarkStart w:id="0" w:name="_GoBack"/>
      <w:bookmarkEnd w:id="0"/>
      <w:r>
        <w:br/>
      </w:r>
      <w:r w:rsidR="00C83C38">
        <w:t xml:space="preserve">Hele det offentlige område </w:t>
      </w:r>
      <w:r w:rsidR="006B3F99">
        <w:t xml:space="preserve">skal sørge for, at der </w:t>
      </w:r>
      <w:r>
        <w:t>stilles krav om arbejdsklausuler</w:t>
      </w:r>
      <w:r w:rsidR="00FA5393">
        <w:t xml:space="preserve"> </w:t>
      </w:r>
      <w:r w:rsidR="00A10D37">
        <w:t xml:space="preserve">ved indgåelse af </w:t>
      </w:r>
      <w:r w:rsidR="00FA5393">
        <w:t>alle offentlige kontrakter</w:t>
      </w:r>
      <w:r w:rsidR="00A10D37">
        <w:t xml:space="preserve">. De skal sikre lære- og praktikpladser til flere lærlinge, samt sikre overenskomstfastsatte </w:t>
      </w:r>
      <w:r>
        <w:t>løn- og ansættelsesvilkår hos leverandør og underleverandører</w:t>
      </w:r>
      <w:r w:rsidR="006B3F99">
        <w:t>.</w:t>
      </w:r>
      <w:r w:rsidR="00792798">
        <w:t xml:space="preserve"> </w:t>
      </w:r>
      <w:r w:rsidR="00792798">
        <w:br/>
      </w:r>
    </w:p>
    <w:p w:rsidR="00792798" w:rsidRDefault="007961C1" w:rsidP="000B4C17">
      <w:pPr>
        <w:pStyle w:val="Listeafsnit"/>
        <w:numPr>
          <w:ilvl w:val="0"/>
          <w:numId w:val="3"/>
        </w:numPr>
      </w:pPr>
      <w:r w:rsidRPr="00792798">
        <w:rPr>
          <w:b/>
        </w:rPr>
        <w:t>Øget myndighedsindsats</w:t>
      </w:r>
      <w:r w:rsidR="00921A37">
        <w:br/>
      </w:r>
      <w:r>
        <w:t xml:space="preserve">Der </w:t>
      </w:r>
      <w:r w:rsidR="00921A37">
        <w:t xml:space="preserve">tilføres flere ressourcer </w:t>
      </w:r>
      <w:r>
        <w:t xml:space="preserve">til myndighedskontrol, </w:t>
      </w:r>
      <w:r w:rsidR="00921A37">
        <w:t>og s</w:t>
      </w:r>
      <w:r>
        <w:t>traffene for brud på reglerne skal</w:t>
      </w:r>
      <w:r w:rsidR="00921A37">
        <w:t xml:space="preserve"> </w:t>
      </w:r>
      <w:r>
        <w:t xml:space="preserve">skærpes. </w:t>
      </w:r>
      <w:r w:rsidR="00921A37">
        <w:t xml:space="preserve">Ved gentagne og grove </w:t>
      </w:r>
      <w:r>
        <w:t>tilfælde af brud</w:t>
      </w:r>
      <w:r w:rsidR="00921A37">
        <w:t xml:space="preserve"> </w:t>
      </w:r>
      <w:r>
        <w:t xml:space="preserve">på reglerne, </w:t>
      </w:r>
      <w:r w:rsidR="00C83C38">
        <w:t xml:space="preserve">skal </w:t>
      </w:r>
      <w:r>
        <w:t xml:space="preserve">ejeren </w:t>
      </w:r>
      <w:r w:rsidR="00C83C38">
        <w:t xml:space="preserve">kunne </w:t>
      </w:r>
      <w:r>
        <w:t xml:space="preserve">fratages retten til at drive virksomhed. </w:t>
      </w:r>
      <w:r w:rsidR="00792798">
        <w:br/>
      </w:r>
    </w:p>
    <w:p w:rsidR="00856572" w:rsidRDefault="00921A37" w:rsidP="004E01A6">
      <w:pPr>
        <w:pStyle w:val="Listeafsnit"/>
        <w:numPr>
          <w:ilvl w:val="0"/>
          <w:numId w:val="3"/>
        </w:numPr>
      </w:pPr>
      <w:r w:rsidRPr="00792798">
        <w:rPr>
          <w:b/>
        </w:rPr>
        <w:t xml:space="preserve">Lønmodtagere skal beskyttes ved </w:t>
      </w:r>
      <w:r w:rsidR="00F730E2" w:rsidRPr="00792798">
        <w:rPr>
          <w:b/>
        </w:rPr>
        <w:t>virksomhedsoverdragelse</w:t>
      </w:r>
      <w:r w:rsidRPr="00792798">
        <w:rPr>
          <w:b/>
        </w:rPr>
        <w:t xml:space="preserve"> </w:t>
      </w:r>
      <w:r w:rsidRPr="00792798">
        <w:rPr>
          <w:b/>
        </w:rPr>
        <w:br/>
      </w:r>
      <w:r w:rsidR="00F730E2">
        <w:t>Udliciteringer og andre former for virksomhedsoverdragelse er blevet et redskab for offentlige og</w:t>
      </w:r>
      <w:r>
        <w:t xml:space="preserve"> </w:t>
      </w:r>
      <w:r w:rsidR="00F730E2">
        <w:t xml:space="preserve">private virksomheder til at spare på lønudgifterne. </w:t>
      </w:r>
      <w:r>
        <w:t xml:space="preserve">I de tilfælde skal </w:t>
      </w:r>
      <w:r w:rsidR="00F730E2">
        <w:t>lønmodtagernes rettigheder</w:t>
      </w:r>
      <w:r>
        <w:t xml:space="preserve"> sikres</w:t>
      </w:r>
      <w:r w:rsidR="00F730E2">
        <w:t>, så den nye virksomhed forpligtes på lønmodtagernes individuelle og kollektive rettigheder</w:t>
      </w:r>
      <w:r>
        <w:t>.</w:t>
      </w:r>
      <w:r w:rsidR="00FB1ED8">
        <w:t xml:space="preserve"> </w:t>
      </w:r>
    </w:p>
    <w:sectPr w:rsidR="00856572" w:rsidSect="004E01A6">
      <w:headerReference w:type="default" r:id="rId8"/>
      <w:footerReference w:type="default" r:id="rId9"/>
      <w:pgSz w:w="11906" w:h="16838"/>
      <w:pgMar w:top="2517" w:right="1644" w:bottom="567" w:left="164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65" w:rsidRDefault="00CA3365" w:rsidP="00690777">
      <w:pPr>
        <w:spacing w:after="0" w:line="240" w:lineRule="auto"/>
      </w:pPr>
      <w:r>
        <w:separator/>
      </w:r>
    </w:p>
  </w:endnote>
  <w:endnote w:type="continuationSeparator" w:id="0">
    <w:p w:rsidR="00CA3365" w:rsidRDefault="00CA3365" w:rsidP="0069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213626"/>
      <w:docPartObj>
        <w:docPartGallery w:val="Page Numbers (Bottom of Page)"/>
        <w:docPartUnique/>
      </w:docPartObj>
    </w:sdtPr>
    <w:sdtEndPr/>
    <w:sdtContent>
      <w:p w:rsidR="00B23F5E" w:rsidRDefault="00FB1ED8" w:rsidP="00B23F5E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E71">
          <w:rPr>
            <w:noProof/>
          </w:rPr>
          <w:t>1</w:t>
        </w:r>
        <w:r>
          <w:fldChar w:fldCharType="end"/>
        </w:r>
      </w:p>
      <w:p w:rsidR="00FB1ED8" w:rsidRDefault="00FB1ED8" w:rsidP="00B23F5E">
        <w:pPr>
          <w:pStyle w:val="Sidefod"/>
          <w:jc w:val="right"/>
          <w:rPr>
            <w:noProof/>
            <w:lang w:eastAsia="da-DK"/>
          </w:rPr>
        </w:pPr>
        <w:r>
          <w:rPr>
            <w:noProof/>
            <w:lang w:eastAsia="da-DK"/>
          </w:rPr>
          <w:drawing>
            <wp:inline distT="0" distB="0" distL="0" distR="0" wp14:anchorId="4C235266" wp14:editId="021CE900">
              <wp:extent cx="1714500" cy="438150"/>
              <wp:effectExtent l="0" t="0" r="0" b="0"/>
              <wp:docPr id="8" name="Billed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BLIK&amp;RØR_logo_rgb_180x46px_pos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438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690777" w:rsidRDefault="0069077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65" w:rsidRDefault="00CA3365" w:rsidP="00690777">
      <w:pPr>
        <w:spacing w:after="0" w:line="240" w:lineRule="auto"/>
      </w:pPr>
      <w:r>
        <w:separator/>
      </w:r>
    </w:p>
  </w:footnote>
  <w:footnote w:type="continuationSeparator" w:id="0">
    <w:p w:rsidR="00CA3365" w:rsidRDefault="00CA3365" w:rsidP="0069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b/>
      </w:rPr>
      <w:id w:val="-1064566903"/>
      <w:docPartObj>
        <w:docPartGallery w:val="Page Numbers (Top of Page)"/>
        <w:docPartUnique/>
      </w:docPartObj>
    </w:sdtPr>
    <w:sdtEndPr/>
    <w:sdtContent>
      <w:p w:rsidR="00331659" w:rsidRDefault="00331659">
        <w:pPr>
          <w:pStyle w:val="Sidehoved"/>
          <w:jc w:val="right"/>
          <w:rPr>
            <w:rFonts w:ascii="Verdana" w:hAnsi="Verdana"/>
            <w:b/>
          </w:rPr>
        </w:pPr>
        <w:r w:rsidRPr="00331659">
          <w:rPr>
            <w:rFonts w:ascii="Verdana" w:hAnsi="Verdana"/>
            <w:b/>
          </w:rPr>
          <w:t>Blik- og Rørarbejderforbundets 38. ordinære kongres</w:t>
        </w:r>
      </w:p>
      <w:p w:rsidR="00331659" w:rsidRPr="00331659" w:rsidRDefault="00B41191">
        <w:pPr>
          <w:pStyle w:val="Sidehoved"/>
          <w:jc w:val="right"/>
          <w:rPr>
            <w:rFonts w:ascii="Verdana" w:hAnsi="Verdana"/>
            <w:b/>
          </w:rPr>
        </w:pPr>
        <w:r>
          <w:rPr>
            <w:rFonts w:ascii="Verdana" w:hAnsi="Verdana"/>
            <w:b/>
          </w:rPr>
          <w:t>Arbejdsmarkedspoliti</w:t>
        </w:r>
        <w:r w:rsidR="00331659" w:rsidRPr="00331659">
          <w:rPr>
            <w:rFonts w:ascii="Verdana" w:hAnsi="Verdana"/>
            <w:b/>
          </w:rPr>
          <w:t>sk udtalelse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7DA"/>
    <w:multiLevelType w:val="hybridMultilevel"/>
    <w:tmpl w:val="31E8E3C8"/>
    <w:lvl w:ilvl="0" w:tplc="5414D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86509"/>
    <w:multiLevelType w:val="hybridMultilevel"/>
    <w:tmpl w:val="E3DACA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B0BAA"/>
    <w:multiLevelType w:val="hybridMultilevel"/>
    <w:tmpl w:val="E8D280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1D"/>
    <w:rsid w:val="0004231D"/>
    <w:rsid w:val="000467E5"/>
    <w:rsid w:val="001C581C"/>
    <w:rsid w:val="00292193"/>
    <w:rsid w:val="00331659"/>
    <w:rsid w:val="004605EF"/>
    <w:rsid w:val="004E01A6"/>
    <w:rsid w:val="00536A83"/>
    <w:rsid w:val="00690777"/>
    <w:rsid w:val="006B21C1"/>
    <w:rsid w:val="006B3F99"/>
    <w:rsid w:val="00792798"/>
    <w:rsid w:val="007961C1"/>
    <w:rsid w:val="007A5291"/>
    <w:rsid w:val="00856572"/>
    <w:rsid w:val="00920026"/>
    <w:rsid w:val="00921A37"/>
    <w:rsid w:val="009A7780"/>
    <w:rsid w:val="00A10D37"/>
    <w:rsid w:val="00A215F4"/>
    <w:rsid w:val="00B14539"/>
    <w:rsid w:val="00B23F5E"/>
    <w:rsid w:val="00B41191"/>
    <w:rsid w:val="00BB221D"/>
    <w:rsid w:val="00C83C38"/>
    <w:rsid w:val="00CA3365"/>
    <w:rsid w:val="00CD26FA"/>
    <w:rsid w:val="00D17FC1"/>
    <w:rsid w:val="00F730E2"/>
    <w:rsid w:val="00FA5393"/>
    <w:rsid w:val="00FB026C"/>
    <w:rsid w:val="00FB1ED8"/>
    <w:rsid w:val="00F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61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90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0777"/>
  </w:style>
  <w:style w:type="paragraph" w:styleId="Sidefod">
    <w:name w:val="footer"/>
    <w:basedOn w:val="Normal"/>
    <w:link w:val="SidefodTegn"/>
    <w:uiPriority w:val="99"/>
    <w:unhideWhenUsed/>
    <w:rsid w:val="00690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077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4539"/>
    <w:rPr>
      <w:rFonts w:ascii="Segoe UI" w:hAnsi="Segoe UI" w:cs="Segoe UI"/>
      <w:sz w:val="18"/>
      <w:szCs w:val="18"/>
    </w:rPr>
  </w:style>
  <w:style w:type="character" w:styleId="Linjenummer">
    <w:name w:val="line number"/>
    <w:basedOn w:val="Standardskrifttypeiafsnit"/>
    <w:uiPriority w:val="99"/>
    <w:semiHidden/>
    <w:unhideWhenUsed/>
    <w:rsid w:val="004E0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61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90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0777"/>
  </w:style>
  <w:style w:type="paragraph" w:styleId="Sidefod">
    <w:name w:val="footer"/>
    <w:basedOn w:val="Normal"/>
    <w:link w:val="SidefodTegn"/>
    <w:uiPriority w:val="99"/>
    <w:unhideWhenUsed/>
    <w:rsid w:val="00690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077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4539"/>
    <w:rPr>
      <w:rFonts w:ascii="Segoe UI" w:hAnsi="Segoe UI" w:cs="Segoe UI"/>
      <w:sz w:val="18"/>
      <w:szCs w:val="18"/>
    </w:rPr>
  </w:style>
  <w:style w:type="character" w:styleId="Linjenummer">
    <w:name w:val="line number"/>
    <w:basedOn w:val="Standardskrifttypeiafsnit"/>
    <w:uiPriority w:val="99"/>
    <w:semiHidden/>
    <w:unhideWhenUsed/>
    <w:rsid w:val="004E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Blik og Rør arbejderforbundet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Guldberg Nielsen</dc:creator>
  <cp:lastModifiedBy>Allan Guldberg Nielsen</cp:lastModifiedBy>
  <cp:revision>2</cp:revision>
  <cp:lastPrinted>2014-10-29T13:27:00Z</cp:lastPrinted>
  <dcterms:created xsi:type="dcterms:W3CDTF">2014-11-14T19:09:00Z</dcterms:created>
  <dcterms:modified xsi:type="dcterms:W3CDTF">2014-11-14T19:09:00Z</dcterms:modified>
</cp:coreProperties>
</file>